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94FC8" w14:paraId="2D3ECBBB" w14:textId="77777777" w:rsidTr="00794FC8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94FC8" w14:paraId="142E54A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</w:tcPr>
                <w:p w14:paraId="305DFDAC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84FA1"/>
                      <w:sz w:val="33"/>
                      <w:szCs w:val="33"/>
                    </w:rPr>
                    <w:t>5 Easy Pieces: How to Remake Risk Rules</w:t>
                  </w:r>
                </w:p>
                <w:p w14:paraId="20D97C96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</w:p>
                <w:p w14:paraId="528D5CCF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iCs/>
                      <w:color w:val="000000"/>
                      <w:sz w:val="18"/>
                      <w:szCs w:val="18"/>
                    </w:rPr>
                    <w:t>﻿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By Melanie Lockwood Herman</w:t>
                  </w:r>
                </w:p>
              </w:tc>
            </w:tr>
          </w:tbl>
          <w:p w14:paraId="50717FC0" w14:textId="77777777" w:rsidR="00794FC8" w:rsidRDefault="00794F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D1A9CC0" w14:textId="77777777" w:rsidR="00794FC8" w:rsidRDefault="00794FC8" w:rsidP="00794FC8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94FC8" w14:paraId="28CB65D0" w14:textId="77777777" w:rsidTr="00794FC8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94FC8" w14:paraId="74B26DF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</w:tcPr>
                <w:p w14:paraId="60FC4717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 recall hearing the phrase “5 Easy Pieces” while watching a television show about how to dress without looking like you were trying to impress. The concept of having simple wardrobe items that work anytime, anywhere, was deceptively appealing. While I never purchased any of the items the wardrobe experts recommended,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I’ve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adopted my wise father’s philosophy and often wear the same getup day after day. I own multiple pairs of the same slacks and duplicates of spring and winter tops.</w:t>
                  </w:r>
                </w:p>
                <w:p w14:paraId="49403949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3FE28FFE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What if we embraced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 few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simple rules when we write risk policies?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Maybe that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could take the pain out of drafting, enforcing, and explaining complex policies. I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was inspired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to craft simple policy drafting concepts while reading Christian Hunt’s book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Humanizing Rules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Bringing Behavioural Science to Ethics and Compliance.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Hunt’s book skillfully balances bluntness with wit, and practicality with insight.</w:t>
                  </w:r>
                </w:p>
                <w:p w14:paraId="71BAE161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9654BD6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Hunt introduces a helpful mnemonic—HUMANS—to remind rule writers to reflect on the content of their rules and how the people who need to comply will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likely receive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perceive, and understand them. HUMANS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stands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for:</w:t>
                  </w:r>
                </w:p>
                <w:p w14:paraId="2E1B257D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279F098" w14:textId="77777777" w:rsidR="00794FC8" w:rsidRDefault="00794FC8" w:rsidP="00563FA0">
                  <w:pPr>
                    <w:numPr>
                      <w:ilvl w:val="0"/>
                      <w:numId w:val="1"/>
                    </w:numPr>
                    <w:ind w:left="600" w:hanging="240"/>
                    <w:rPr>
                      <w:rFonts w:ascii="Arial" w:eastAsia="Times New Roman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H = Helpful: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How helpful do I find what they are asking me to do?</w:t>
                  </w:r>
                  <w:r>
                    <w:rPr>
                      <w:rFonts w:ascii="Arial" w:eastAsia="Times New Roman" w:hAnsi="Arial" w:cs="Arial"/>
                      <w:color w:val="403F42"/>
                      <w:sz w:val="18"/>
                      <w:szCs w:val="18"/>
                    </w:rPr>
                    <w:t xml:space="preserve"> </w:t>
                  </w:r>
                </w:p>
                <w:p w14:paraId="7B0FDC4B" w14:textId="77777777" w:rsidR="00794FC8" w:rsidRDefault="00794FC8" w:rsidP="00563FA0">
                  <w:pPr>
                    <w:numPr>
                      <w:ilvl w:val="0"/>
                      <w:numId w:val="1"/>
                    </w:numPr>
                    <w:ind w:left="600" w:hanging="240"/>
                    <w:rPr>
                      <w:rFonts w:ascii="Arial" w:eastAsia="Times New Roman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 = Understand: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Do I understand what they are asking me to do? And do I understand why they are asking me to do it?</w:t>
                  </w:r>
                  <w:r>
                    <w:rPr>
                      <w:rFonts w:ascii="Arial" w:eastAsia="Times New Roman" w:hAnsi="Arial" w:cs="Arial"/>
                      <w:color w:val="403F42"/>
                      <w:sz w:val="18"/>
                      <w:szCs w:val="18"/>
                    </w:rPr>
                    <w:t xml:space="preserve"> </w:t>
                  </w:r>
                </w:p>
                <w:p w14:paraId="2A832AB9" w14:textId="77777777" w:rsidR="00794FC8" w:rsidRDefault="00794FC8" w:rsidP="00563FA0">
                  <w:pPr>
                    <w:numPr>
                      <w:ilvl w:val="0"/>
                      <w:numId w:val="1"/>
                    </w:numPr>
                    <w:ind w:left="600" w:hanging="240"/>
                    <w:rPr>
                      <w:rFonts w:ascii="Arial" w:eastAsia="Times New Roman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M = Manageable: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How manageable is what they are asking me to do?</w:t>
                  </w:r>
                  <w:r>
                    <w:rPr>
                      <w:rFonts w:ascii="Arial" w:eastAsia="Times New Roman" w:hAnsi="Arial" w:cs="Arial"/>
                      <w:color w:val="403F42"/>
                      <w:sz w:val="18"/>
                      <w:szCs w:val="18"/>
                    </w:rPr>
                    <w:t xml:space="preserve"> </w:t>
                  </w:r>
                </w:p>
                <w:p w14:paraId="050AD041" w14:textId="77777777" w:rsidR="00794FC8" w:rsidRDefault="00794FC8" w:rsidP="00563FA0">
                  <w:pPr>
                    <w:numPr>
                      <w:ilvl w:val="0"/>
                      <w:numId w:val="1"/>
                    </w:numPr>
                    <w:ind w:left="600" w:hanging="240"/>
                    <w:rPr>
                      <w:rFonts w:ascii="Arial" w:eastAsia="Times New Roman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A = Acceptable: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How acceptable do I find what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they’re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asking me to do? And do I accept that they have the authority to do so? The more acceptable people find what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we’re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asking them to do, the more likely they are to do it.</w:t>
                  </w:r>
                  <w:r>
                    <w:rPr>
                      <w:rFonts w:ascii="Arial" w:eastAsia="Times New Roman" w:hAnsi="Arial" w:cs="Arial"/>
                      <w:color w:val="403F42"/>
                      <w:sz w:val="18"/>
                      <w:szCs w:val="18"/>
                    </w:rPr>
                    <w:t xml:space="preserve"> </w:t>
                  </w:r>
                </w:p>
                <w:p w14:paraId="0AE40750" w14:textId="77777777" w:rsidR="00794FC8" w:rsidRDefault="00794FC8" w:rsidP="00563FA0">
                  <w:pPr>
                    <w:numPr>
                      <w:ilvl w:val="0"/>
                      <w:numId w:val="1"/>
                    </w:numPr>
                    <w:ind w:left="600" w:hanging="240"/>
                    <w:rPr>
                      <w:rFonts w:ascii="Arial" w:eastAsia="Times New Roman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 = Normal: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Is what they are asking me to do normal? And are other people doing this?</w:t>
                  </w:r>
                  <w:r>
                    <w:rPr>
                      <w:rFonts w:ascii="Arial" w:eastAsia="Times New Roman" w:hAnsi="Arial" w:cs="Arial"/>
                      <w:color w:val="403F42"/>
                      <w:sz w:val="18"/>
                      <w:szCs w:val="18"/>
                    </w:rPr>
                    <w:t xml:space="preserve"> </w:t>
                  </w:r>
                </w:p>
                <w:p w14:paraId="68F9364B" w14:textId="77777777" w:rsidR="00794FC8" w:rsidRDefault="00794FC8" w:rsidP="00563FA0">
                  <w:pPr>
                    <w:numPr>
                      <w:ilvl w:val="0"/>
                      <w:numId w:val="1"/>
                    </w:numPr>
                    <w:ind w:left="600" w:hanging="240"/>
                    <w:rPr>
                      <w:rFonts w:ascii="Arial" w:eastAsia="Times New Roman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 = Salient: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How relevant is what they are asking me to do? And how appealing is what they are asking me to do?</w:t>
                  </w:r>
                  <w:r>
                    <w:rPr>
                      <w:rFonts w:ascii="Arial" w:eastAsia="Times New Roman" w:hAnsi="Arial" w:cs="Arial"/>
                      <w:color w:val="403F42"/>
                      <w:sz w:val="18"/>
                      <w:szCs w:val="18"/>
                    </w:rPr>
                    <w:t xml:space="preserve"> </w:t>
                  </w:r>
                </w:p>
                <w:p w14:paraId="3BA4B7DC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392E39E1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Below are five simple rules that could make the policies we draft better.</w:t>
                  </w:r>
                </w:p>
                <w:p w14:paraId="3D6F471A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71078C88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84FA1"/>
                      <w:sz w:val="21"/>
                      <w:szCs w:val="21"/>
                    </w:rPr>
                    <w:t xml:space="preserve">Rule #1 –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284FA1"/>
                      <w:sz w:val="21"/>
                      <w:szCs w:val="21"/>
                    </w:rPr>
                    <w:t>Don’t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284FA1"/>
                      <w:sz w:val="21"/>
                      <w:szCs w:val="21"/>
                    </w:rPr>
                    <w:t xml:space="preserve"> Make Things Worse</w:t>
                  </w:r>
                </w:p>
                <w:p w14:paraId="49A72050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B8F6DE9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Many of us take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great pride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in being ‘doers’ who get things done. But sometimes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doing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instead of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thinking about what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we’re</w:t>
                  </w:r>
                  <w:proofErr w:type="gram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doing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leads to policy blunders. Hunt refers to a German word that describes “what can happen due to a bias toward action.” The word is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verschlimmbessern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and Hunt explains that “It’s when we try to improve things, but in doing things we actually make them worse.”</w:t>
                  </w:r>
                </w:p>
                <w:p w14:paraId="38785D1C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7C98D05D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What makes something worse? It might be more confusing, convoluted, difficult, tyrannical, maddening, or any number of things that mean, simply, worse. When you change or create a policy, ask “By changing this policy, have I potentially made things worse?” Or “What makes me truly believe more people will understand, accept, and happily comply now that I’ve updated the policy?”</w:t>
                  </w:r>
                </w:p>
                <w:p w14:paraId="0D7E6DC9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46465E02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84FA1"/>
                      <w:sz w:val="21"/>
                      <w:szCs w:val="21"/>
                    </w:rPr>
                    <w:t>Rule #2 – Stop Blaming Others</w:t>
                  </w:r>
                </w:p>
                <w:p w14:paraId="14915017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5BA4245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Hunt writes that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many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policies and procedures are prefaced with a simple, but disingenuous explanation: “We’re doing this because we have to.” He says leaders and policy drafters should put that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often false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narrative aside. If you emphasize instead that “we’re doing this because it matters” and “here’s why,” people are more likely to understand and follow your policies. Whether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you’re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issuing a new risk policy or tuning up a dated one, double check that you’re doing so because it matters. And remember that when you lead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with ”it’s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because we have to” or “there’s a regulation that requires this,” your audience may check out. </w:t>
                  </w:r>
                </w:p>
                <w:p w14:paraId="758D2894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435ABBF6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84FA1"/>
                      <w:sz w:val="21"/>
                      <w:szCs w:val="21"/>
                    </w:rPr>
                    <w:t>Rule #3 – Be Reasonable</w:t>
                  </w:r>
                </w:p>
                <w:p w14:paraId="0AE9B27F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42717BB7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Hunt reminds readers of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Humanizing Rules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that policies and procedures often ask people to do things that are either impossible, unmanageable, or contradictory to the requirements in other policies. We ask people to “be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safe!” but also “work efficiently,” to “not cut corners” but “spend money wisely,” and otherwise contradict ourselves.</w:t>
                  </w:r>
                </w:p>
                <w:p w14:paraId="16A4038F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D2943E4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84FA1"/>
                      <w:sz w:val="21"/>
                      <w:szCs w:val="21"/>
                    </w:rPr>
                    <w:t xml:space="preserve">Rule #4 –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284FA1"/>
                      <w:sz w:val="21"/>
                      <w:szCs w:val="21"/>
                    </w:rPr>
                    <w:t>Don’t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284FA1"/>
                      <w:sz w:val="21"/>
                      <w:szCs w:val="21"/>
                    </w:rPr>
                    <w:t xml:space="preserve"> Solve People Problems with New Rules</w:t>
                  </w:r>
                </w:p>
                <w:p w14:paraId="231E4B7C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5C429CBA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Since the first employee handbook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was cobbled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together, many leaders have tried to use HR policies as a tool for dealing with people problems. Someone shows up to an important meeting wearing a rumpled t-shirt with a barbecue sauce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stain?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Update the employee handbook to require collared shirts. Someone frequently submits late expense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reports?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Change the policy to indicate that if expenses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aren’t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submitted within 30 days, no reimbursement will be paid. We too often turn to policies instead of engaging in a candid conversation with a human being. If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you’re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committed to changing that approach, I encourage you to lead the conversation with curiosity, not judgement. Resolve to learn the real reasons why someone is not following a rule you deemed important.</w:t>
                  </w:r>
                </w:p>
                <w:p w14:paraId="02836CC2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06EFF225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84FA1"/>
                      <w:sz w:val="21"/>
                      <w:szCs w:val="21"/>
                    </w:rPr>
                    <w:t>Rule #5 - Look Ahead to Spot the Turkeys Around the Bend</w:t>
                  </w:r>
                </w:p>
                <w:p w14:paraId="3E293A9A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4EBA0984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In Chapter 18, Hunt reminds policy crafters to “Look Where You Want to Go,” and describes one of the most important lessons taught to new motorcyclists: when approaching a bend in the road, keep your eyes focused on where you are going, beyond the bend. New riders whose gaze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is drawn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to the bend itself “risk crashing into the thing you’re fixating on avoiding.” During one motorbike ride with my Dad, I remember looking far off beyond the curve and seeing a rafter of 12+ wild turkeys crossing the road. Following the “look beyond the bend” rule led me to let up on the throttle a bit and avoid a messy and potentially disastrous encounter.</w:t>
                  </w:r>
                </w:p>
                <w:p w14:paraId="520BE6DE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DA4AB4A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Hunt writes that “Rather than thinking about the outcome we’re looking to achieve, we focus more on the frameworks, processes, and policies we’ve implemented to get us there.” If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you’re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stuck in a framework or lengthy policy, give yourself space to re-consider what you seek to achieve. Put the draft aside for a while and make sure you and others involved can see the destination beyond the bend.</w:t>
                  </w:r>
                </w:p>
                <w:p w14:paraId="214C0B27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7D54A5C4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Sure, having real conversations with humans before and during your policy drafting might make it take a little longer. But it also will make people more likely to understand and follow those policies—and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you’ll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learn valuable lessons about your team members and constituents in the process. These five simple rules will help you get there. Bonus: with a little thought to the wardrobe version of your own “five easy pieces,”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you’ll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look sharp when you arrive.</w:t>
                  </w:r>
                </w:p>
                <w:p w14:paraId="33683ECC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</w:p>
                <w:p w14:paraId="413DF5D8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1A191A"/>
                      <w:sz w:val="18"/>
                      <w:szCs w:val="18"/>
                    </w:rPr>
                    <w:t xml:space="preserve">Melanie Lockwood Herman is Executive Director of the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1A191A"/>
                      <w:sz w:val="18"/>
                      <w:szCs w:val="18"/>
                    </w:rPr>
                    <w:t>Nonprofit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1A191A"/>
                      <w:sz w:val="18"/>
                      <w:szCs w:val="18"/>
                    </w:rPr>
                    <w:t xml:space="preserve"> Risk Management Center. She welcomes your thoughts and insights about policy drafting, looking beyond the bend, and embracing risk at </w:t>
                  </w:r>
                  <w:hyperlink r:id="rId5" w:history="1">
                    <w:r>
                      <w:rPr>
                        <w:rStyle w:val="Hyperlink"/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Melanie@nonprofitrisk.org</w:t>
                    </w:r>
                  </w:hyperlink>
                  <w:r>
                    <w:rPr>
                      <w:rFonts w:ascii="Arial" w:hAnsi="Arial" w:cs="Arial"/>
                      <w:i/>
                      <w:iCs/>
                      <w:color w:val="1A191A"/>
                      <w:sz w:val="18"/>
                      <w:szCs w:val="18"/>
                    </w:rPr>
                    <w:t xml:space="preserve"> or 703-777-3504.</w:t>
                  </w:r>
                </w:p>
                <w:p w14:paraId="010D423A" w14:textId="77777777" w:rsidR="00794FC8" w:rsidRDefault="00794FC8">
                  <w:pPr>
                    <w:pStyle w:val="NormalWeb"/>
                    <w:rPr>
                      <w:rFonts w:ascii="Arial" w:hAnsi="Arial" w:cs="Arial"/>
                      <w:color w:val="403F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C3217E3" w14:textId="77777777" w:rsidR="00794FC8" w:rsidRDefault="00794F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338F451" w14:textId="77777777" w:rsidR="009D296E" w:rsidRDefault="009D296E"/>
    <w:sectPr w:rsidR="009D29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7E02"/>
    <w:multiLevelType w:val="multilevel"/>
    <w:tmpl w:val="DCBA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C8"/>
    <w:rsid w:val="00794FC8"/>
    <w:rsid w:val="009D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E3D9"/>
  <w15:chartTrackingRefBased/>
  <w15:docId w15:val="{CCFE27AB-04B9-4E7A-B44E-F188C9F4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FC8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4F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anie@nonprofitri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Palichuk</dc:creator>
  <cp:keywords/>
  <dc:description/>
  <cp:lastModifiedBy>Karla Palichuk</cp:lastModifiedBy>
  <cp:revision>1</cp:revision>
  <dcterms:created xsi:type="dcterms:W3CDTF">2024-02-14T00:16:00Z</dcterms:created>
  <dcterms:modified xsi:type="dcterms:W3CDTF">2024-02-14T00:17:00Z</dcterms:modified>
</cp:coreProperties>
</file>